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5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>4463</w:t>
      </w:r>
    </w:p>
    <w:p>
      <w:pPr>
        <w:pStyle w:val="118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Maastricht, NL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23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Aug</w:t>
      </w:r>
      <w:r>
        <w:t xml:space="preserve"> 202</w:t>
      </w:r>
      <w:r>
        <w:rPr>
          <w:rFonts w:hint="eastAsia" w:eastAsia="宋体"/>
          <w:lang w:val="en-US" w:eastAsia="zh-CN"/>
        </w:rPr>
        <w:t>4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9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15.1</w:t>
      </w:r>
      <w:bookmarkStart w:id="21" w:name="_GoBack"/>
      <w:bookmarkEnd w:id="21"/>
    </w:p>
    <w:p>
      <w:pPr>
        <w:pStyle w:val="8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Corporation, CATT, MediaTek Inc.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Work Plan for Rel-19 IoT NTN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WID/SID:               </w:t>
      </w:r>
      <w:bookmarkStart w:id="3" w:name="OLE_LINK10"/>
      <w:r>
        <w:rPr>
          <w:rFonts w:hint="eastAsia" w:eastAsia="宋体"/>
          <w:lang w:val="en-US" w:eastAsia="zh-CN"/>
        </w:rPr>
        <w:t>IoT_NTN_Ph3</w:t>
      </w:r>
      <w:bookmarkEnd w:id="3"/>
      <w:r>
        <w:rPr>
          <w:rFonts w:hint="eastAsia" w:eastAsia="宋体"/>
          <w:lang w:val="en-US" w:eastAsia="zh-CN"/>
        </w:rPr>
        <w:t>-Core</w:t>
      </w:r>
    </w:p>
    <w:p>
      <w:pPr>
        <w:pStyle w:val="89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Information</w:t>
      </w:r>
    </w:p>
    <w:p>
      <w:pPr>
        <w:pStyle w:val="2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In RAN#104 meeting, the </w:t>
      </w:r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“</w:t>
      </w:r>
      <w:bookmarkStart w:id="4" w:name="OLE_LINK12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Revised WID on </w:t>
      </w:r>
      <w:bookmarkStart w:id="5" w:name="OLE_LINK17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Non-Terrestrial Networks (NTN) for Internet of Things (IoT) Phase 3</w:t>
      </w:r>
      <w:bookmarkEnd w:id="4"/>
      <w:bookmarkEnd w:id="5"/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 has been approved in [1], and the objectives of this WID are listed below.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Support of </w:t>
            </w:r>
            <w:bookmarkStart w:id="6" w:name="OLE_LINK13"/>
            <w:r>
              <w:rPr>
                <w:bCs/>
              </w:rPr>
              <w:t>Store&amp;Forward (S&amp;F)</w:t>
            </w:r>
            <w:bookmarkEnd w:id="6"/>
            <w:r>
              <w:rPr>
                <w:bCs/>
              </w:rPr>
              <w:t xml:space="preserve"> satellite operation with full eNB as regenerative payload, therefore: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Define the necessary enhancements into E-UTRAN (network &amp; UE) to support S&amp;F operation for delay-tolerant services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, RAN2]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At least specify necessary enhancements e.g. related to S1 protocol, especially to address the feeder link switch over as needed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Strive to minimise UE impact.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1440"/>
              <w:rPr>
                <w:bCs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Support of Capacity enhancements for uplink</w:t>
            </w:r>
            <w:r>
              <w:rPr>
                <w:bCs/>
              </w:rPr>
              <w:br w:type="textWrapping"/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Study then specify, if beneficial, enhancements to enable </w:t>
            </w:r>
            <w:bookmarkStart w:id="7" w:name="OLE_LINK16"/>
            <w:r>
              <w:rPr>
                <w:bCs/>
              </w:rPr>
              <w:t xml:space="preserve">multiplexing of multiple UEs </w:t>
            </w:r>
            <w:bookmarkEnd w:id="7"/>
            <w:r>
              <w:rPr>
                <w:bCs/>
              </w:rPr>
              <w:t>(e.g. up to the min of 4 and the maximum allowed by the existing UL and DL signalling) in a single 3.75 kHz or 15 kHz subcarrier via orthogonal cover codes (</w:t>
            </w:r>
            <w:bookmarkStart w:id="8" w:name="OLE_LINK15"/>
            <w:r>
              <w:rPr>
                <w:bCs/>
              </w:rPr>
              <w:t>OCC</w:t>
            </w:r>
            <w:bookmarkEnd w:id="8"/>
            <w:r>
              <w:rPr>
                <w:bCs/>
              </w:rPr>
              <w:t>) for NPUSCH format 1 and NPRACH [RAN1, RAN2, RAN4]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Multi-tone support for 15 kHz SCS should also be considered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necessary signalling, if needed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Update RF requirements accordingly, if needed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spacing w:after="0"/>
              <w:ind w:left="1080" w:firstLine="720"/>
              <w:rPr>
                <w:bCs/>
              </w:rPr>
            </w:pPr>
            <w:r>
              <w:rPr>
                <w:bCs/>
              </w:rPr>
              <w:t>Note: Impact of impairment shall be taken into account</w:t>
            </w:r>
          </w:p>
          <w:p>
            <w:pPr>
              <w:spacing w:after="0"/>
              <w:ind w:left="2160"/>
              <w:rPr>
                <w:bCs/>
              </w:rPr>
            </w:pP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9" w:name="OLE_LINK26"/>
            <w:r>
              <w:rPr>
                <w:bCs/>
              </w:rPr>
              <w:t xml:space="preserve">reduce the necessary uplink and downlink signaling to complete an </w:t>
            </w:r>
            <w:bookmarkStart w:id="10" w:name="OLE_LINK14"/>
            <w:r>
              <w:rPr>
                <w:bCs/>
              </w:rPr>
              <w:t xml:space="preserve">Early Data Transmission </w:t>
            </w:r>
            <w:bookmarkEnd w:id="10"/>
            <w:r>
              <w:rPr>
                <w:bCs/>
              </w:rPr>
              <w:t xml:space="preserve">(EDT) transaction </w:t>
            </w:r>
            <w:bookmarkEnd w:id="9"/>
            <w:r>
              <w:rPr>
                <w:bCs/>
              </w:rPr>
              <w:t>[RAN2]: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Msg3 transmission without msg1/</w:t>
            </w:r>
            <w:r>
              <w:t xml:space="preserve"> </w:t>
            </w:r>
            <w:r>
              <w:rPr>
                <w:bCs/>
              </w:rPr>
              <w:t xml:space="preserve">Random Access Response (RAR)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Efficient delivery (reduced overhead) of msg4 / RRCEarlyDataComplete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rFonts w:hint="default" w:ascii="Arial" w:hAnsi="Arial" w:cs="Arial"/>
                <w:color w:val="000000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bCs/>
              </w:rPr>
              <w:t>Study and specify RRM requirement, if identified [RAN4]</w:t>
            </w:r>
          </w:p>
        </w:tc>
      </w:tr>
    </w:tbl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In this contribution, we provide the work plan for Rel-19 IoT NTN work item for RAN1, 2, 3 and 4, as well as the BL CR assignment in RAN3.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Work Plan</w:t>
      </w:r>
    </w:p>
    <w:p>
      <w:pPr>
        <w:pStyle w:val="79"/>
        <w:ind w:left="0" w:firstLine="0"/>
        <w:rPr>
          <w:rFonts w:hint="default" w:ascii="Arial" w:hAnsi="Arial" w:eastAsia="宋体" w:cs="Arial"/>
          <w:lang w:val="en-US" w:eastAsia="zh-TW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Based on the work plan from Rel-19 IoT NTN Rapporteur (MediaTek) in [2], our RAN3 shall follow the same guidance as below.</w:t>
      </w:r>
    </w:p>
    <w:p>
      <w:pPr>
        <w:pStyle w:val="128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44"/>
        <w:tblW w:w="1049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451"/>
        <w:gridCol w:w="1138"/>
        <w:gridCol w:w="65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  <w:lang w:eastAsia="zh-TW"/>
              </w:rPr>
            </w:pPr>
            <w:r>
              <w:rPr>
                <w:rFonts w:ascii="Arial" w:hAnsi="Arial" w:cs="Arial" w:eastAsiaTheme="minorEastAsia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  <w:r>
              <w:rPr>
                <w:rFonts w:ascii="Arial" w:hAnsi="Arial" w:cs="Arial"/>
                <w:b/>
                <w:bCs/>
                <w:color w:val="BFBFBF" w:themeColor="background1" w:themeShade="BF"/>
              </w:rPr>
              <w:t>2024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RAN1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OCC for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  <w:color w:val="BFBFBF" w:themeColor="background1" w:themeShade="BF"/>
                <w:lang w:eastAsia="zh-TW"/>
              </w:rPr>
            </w:pPr>
            <w:bookmarkStart w:id="11" w:name="OLE_LINK2"/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Q2</w:t>
            </w:r>
            <w:bookmarkEnd w:id="11"/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Study the benefit and identify the options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RAN2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Continue discussion on the benefits and the options to use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BFBFBF" w:themeColor="background1" w:themeShade="BF"/>
                <w:u w:val="single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  <w:lang w:eastAsia="zh-TW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sz w:val="20"/>
                <w:szCs w:val="20"/>
              </w:rPr>
              <w:t>Study the benefit and identify the options for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</w:rPr>
            </w:pPr>
            <w:r>
              <w:rPr>
                <w:rFonts w:ascii="Arial" w:hAnsi="Arial" w:cs="Arial" w:eastAsiaTheme="minorEastAsia"/>
                <w:b/>
                <w:bCs/>
              </w:rPr>
              <w:t>2024 Q3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  <w:r>
              <w:rPr>
                <w:rFonts w:ascii="Arial" w:hAnsi="Arial" w:cs="Arial"/>
              </w:rPr>
              <w:t>RAN1#118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Continue discussion on the benefits and the options to use OCC on NPUSCH and NPRACH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hAnsi="Arial" w:eastAsia="宋体" w:cs="Arial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lang w:val="en-US" w:eastAsia="zh-TW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Continue discussion on the benefit and options for EDT enhancement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lang w:val="en-US" w:eastAsia="zh-TW"/>
              </w:rPr>
            </w:pPr>
            <w:bookmarkStart w:id="12" w:name="OLE_LINK30"/>
            <w:r>
              <w:rPr>
                <w:rFonts w:ascii="Arial" w:hAnsi="Arial" w:eastAsia="PMingLiU" w:cs="Arial"/>
                <w:sz w:val="20"/>
                <w:szCs w:val="20"/>
              </w:rPr>
              <w:t>Study the RAN2 impacts on usage of OCC (coordinate with RAN1 if needed)</w:t>
            </w:r>
            <w:bookmarkEnd w:id="12"/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lang w:val="en-US" w:eastAsia="zh-TW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Study on potential RAN2 impact due to S&amp;F operation (coordinate with CT1/SA2/RAN3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Discuss RAN3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lang w:val="en-US" w:eastAsia="zh-TW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Initial discussion on necessary enhancements for S&amp;F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3" w:name="OLE_LINK3"/>
            <w:r>
              <w:rPr>
                <w:rFonts w:ascii="Arial" w:hAnsi="Arial" w:cs="Arial"/>
                <w:sz w:val="20"/>
                <w:szCs w:val="20"/>
              </w:rPr>
              <w:t xml:space="preserve">Discuss RAN4 RRM core requirement </w:t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>impact and 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2024 Q4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RAN1#118bis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Down-select the options for the design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Continue discussion on the benefit and options for EDT enhancement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EastAsia"/>
                <w:sz w:val="20"/>
                <w:szCs w:val="20"/>
                <w:lang w:val="en-US"/>
              </w:rPr>
              <w:t>Study the RAN2 impacts on usage of OCC (coordinate with RAN1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bookmarkStart w:id="14" w:name="OLE_LINK9"/>
            <w:r>
              <w:rPr>
                <w:rFonts w:ascii="Arial" w:hAnsi="Arial" w:eastAsia="PMingLiU" w:cs="Arial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  <w:lang w:val="en-US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Study on potential RAN2 impact due to S&amp;F operation (coordinate with CT1/SA2/RAN3 if needed)</w:t>
            </w:r>
            <w:bookmarkEnd w:id="1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RAN4#112bis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bookmarkStart w:id="15" w:name="OLE_LINK5"/>
            <w:r>
              <w:rPr>
                <w:rFonts w:ascii="Arial" w:hAnsi="Arial" w:cs="Arial"/>
              </w:rPr>
              <w:t>0.5 (RF)</w:t>
            </w:r>
            <w:bookmarkEnd w:id="15"/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6" w:name="OLE_LINK4"/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  <w:bookmarkEnd w:id="16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RAN1#119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Discuss on further details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Conclude on baseline procedure of EDT enhancement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Study the RAN2 impacts on usage of OCC (coordinate with RAN1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Study on potential RAN2 impact due to S&amp;F operation (coordinate with CT1/SA2/RAN3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Continue discussion on necessary enhancements for S&amp;F (coordinate with CT1/SA2/RAN2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>
            <w:pPr>
              <w:pStyle w:val="12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Stage-3 details discussion for EDT enhancement and usage of OCC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Identify the RAN2 impacts on usage of OCC (coordinate with RAN1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bookmarkStart w:id="17" w:name="OLE_LINK31"/>
            <w:r>
              <w:rPr>
                <w:rFonts w:ascii="Arial" w:hAnsi="Arial" w:eastAsia="PMingLiU" w:cs="Arial"/>
                <w:sz w:val="20"/>
                <w:szCs w:val="20"/>
              </w:rPr>
              <w:t xml:space="preserve">Identify </w:t>
            </w:r>
            <w:bookmarkEnd w:id="17"/>
            <w:r>
              <w:rPr>
                <w:rFonts w:ascii="Arial" w:hAnsi="Arial" w:eastAsia="PMingLiU" w:cs="Arial"/>
                <w:sz w:val="20"/>
                <w:szCs w:val="20"/>
              </w:rPr>
              <w:t>the RAN2 impact due to S&amp;F operation (coordinate with CT1/SA2/RAN3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Continue discussion on necessary enhancements for S&amp;F (coordinate with CT1/SA2/RAN2 if needed)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discussion on </w:t>
            </w:r>
            <w:bookmarkStart w:id="18" w:name="OLE_LINK8"/>
            <w:r>
              <w:rPr>
                <w:rFonts w:ascii="Arial" w:hAnsi="Arial" w:cs="Arial"/>
                <w:sz w:val="20"/>
                <w:szCs w:val="20"/>
              </w:rPr>
              <w:t>UE feature list</w:t>
            </w:r>
            <w:bookmarkEnd w:id="18"/>
            <w:r>
              <w:rPr>
                <w:rFonts w:ascii="Arial" w:hAnsi="Arial" w:cs="Arial"/>
                <w:sz w:val="20"/>
                <w:szCs w:val="20"/>
              </w:rPr>
              <w:t>, if any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9" w:name="OLE_LINK6"/>
            <w:r>
              <w:rPr>
                <w:rFonts w:ascii="Arial" w:hAnsi="Arial" w:cs="Arial"/>
                <w:sz w:val="20"/>
                <w:szCs w:val="20"/>
              </w:rPr>
              <w:t>Initial discussion on UE feature list</w:t>
            </w:r>
            <w:bookmarkEnd w:id="19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CRs) on UL capability enhancement and S&amp;F operation.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 R2 on the UE feature list, if any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Initial draft of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Finalize RRC parameter list and UE feature 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Remaining stage-3 details discussion for draft CR endorsement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discussion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Conclude the remaining details for S&amp;F operation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corresponding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RAN1#122</w:t>
            </w:r>
          </w:p>
        </w:tc>
        <w:tc>
          <w:tcPr>
            <w:tcW w:w="1138" w:type="dxa"/>
            <w:shd w:val="clear" w:color="auto" w:fill="FFCCFF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shd w:val="clear" w:color="auto" w:fill="FFCCFF"/>
          </w:tcPr>
          <w:p>
            <w:pPr>
              <w:pStyle w:val="126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380" w:type="dxa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RAN2#131</w:t>
            </w:r>
          </w:p>
        </w:tc>
        <w:tc>
          <w:tcPr>
            <w:tcW w:w="1138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shd w:val="clear" w:color="auto" w:fill="CCFFFF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r>
              <w:rPr>
                <w:rFonts w:ascii="Arial" w:hAnsi="Arial" w:cs="Arial" w:eastAsiaTheme="minorEastAsia"/>
                <w:sz w:val="20"/>
              </w:rPr>
              <w:t>Conclude on UE Capability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RAN3#129</w:t>
            </w:r>
          </w:p>
        </w:tc>
        <w:tc>
          <w:tcPr>
            <w:tcW w:w="1138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RAN4#116</w:t>
            </w:r>
          </w:p>
        </w:tc>
        <w:tc>
          <w:tcPr>
            <w:tcW w:w="1138" w:type="dxa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</w:tc>
      </w:tr>
    </w:tbl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cs="Arial"/>
          <w:sz w:val="20"/>
          <w:szCs w:val="20"/>
          <w:highlight w:val="none"/>
          <w:lang w:val="en-US" w:eastAsia="zh-CN"/>
        </w:rPr>
      </w:pP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 1: RAN3 to take above work plan into consideration.</w:t>
      </w:r>
    </w:p>
    <w:p>
      <w:pPr>
        <w:pStyle w:val="2"/>
        <w:ind w:left="0" w:leftChars="0" w:firstLine="0" w:firstLineChars="0"/>
        <w:rPr>
          <w:rFonts w:hint="default"/>
          <w:lang w:val="en-US"/>
        </w:rPr>
      </w:pPr>
      <w:r>
        <w:rPr>
          <w:rFonts w:hint="eastAsia"/>
          <w:lang w:val="en-US" w:eastAsia="zh-CN"/>
        </w:rPr>
        <w:t>3  BL CR Assignment</w:t>
      </w: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cs="Arial"/>
          <w:lang w:val="en-US" w:eastAsia="zh-CN" w:bidi="ar-SA"/>
        </w:rPr>
      </w:pPr>
      <w:r>
        <w:rPr>
          <w:rFonts w:hint="eastAsia" w:cs="Arial"/>
          <w:lang w:val="en-US" w:eastAsia="zh-CN" w:bidi="ar-SA"/>
        </w:rPr>
        <w:t>In last RAN3 meeting, the BL CRs for NR NTN have been assigned in [3], since the Rel-19 NR NTN WI and IoT NTN WI are correlated, we propose the follow BL CR assignment as below.</w:t>
      </w: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cs="Arial"/>
          <w:lang w:val="en-US" w:eastAsia="zh-CN" w:bidi="ar-SA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vertAlign w:val="baseline"/>
                <w:lang w:val="en-US" w:eastAsia="zh-CN" w:bidi="ar-SA"/>
              </w:rPr>
              <w:t>Specification</w:t>
            </w:r>
          </w:p>
        </w:tc>
        <w:tc>
          <w:tcPr>
            <w:tcW w:w="2550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vertAlign w:val="baseline"/>
                <w:lang w:val="en-US" w:eastAsia="zh-CN" w:bidi="ar-SA"/>
              </w:rPr>
              <w:t>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color w:val="00B05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00B050"/>
                <w:vertAlign w:val="baseline"/>
                <w:lang w:val="en-US" w:eastAsia="zh-CN" w:bidi="ar-SA"/>
              </w:rPr>
              <w:t>TS 36.300</w:t>
            </w:r>
          </w:p>
        </w:tc>
        <w:tc>
          <w:tcPr>
            <w:tcW w:w="2550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color w:val="00B05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00B050"/>
                <w:vertAlign w:val="baseline"/>
                <w:lang w:val="en-US" w:eastAsia="zh-CN" w:bidi="ar-S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color w:val="00B05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00B050"/>
                <w:vertAlign w:val="baseline"/>
                <w:lang w:val="en-US" w:eastAsia="zh-CN" w:bidi="ar-SA"/>
              </w:rPr>
              <w:t>TS 36.413</w:t>
            </w:r>
          </w:p>
        </w:tc>
        <w:tc>
          <w:tcPr>
            <w:tcW w:w="2550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color w:val="00B05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00B050"/>
                <w:vertAlign w:val="baseline"/>
                <w:lang w:val="en-US" w:eastAsia="zh-CN" w:bidi="ar-S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color w:val="00B05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00B050"/>
                <w:vertAlign w:val="baseline"/>
                <w:lang w:val="en-US" w:eastAsia="zh-CN" w:bidi="ar-SA"/>
              </w:rPr>
              <w:t>TS 36.423</w:t>
            </w:r>
          </w:p>
        </w:tc>
        <w:tc>
          <w:tcPr>
            <w:tcW w:w="2550" w:type="dxa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cs="Arial"/>
                <w:color w:val="00B05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00B050"/>
                <w:vertAlign w:val="baseline"/>
                <w:lang w:val="en-US" w:eastAsia="zh-CN" w:bidi="ar-SA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  <w:vAlign w:val="top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Times New Roman" w:cs="Arial"/>
                <w:color w:val="FF000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FF0000"/>
                <w:vertAlign w:val="baseline"/>
                <w:lang w:val="en-US" w:eastAsia="zh-CN" w:bidi="ar-SA"/>
              </w:rPr>
              <w:t>TS 36.410</w:t>
            </w:r>
          </w:p>
        </w:tc>
        <w:tc>
          <w:tcPr>
            <w:tcW w:w="2550" w:type="dxa"/>
            <w:vAlign w:val="top"/>
          </w:tcPr>
          <w:p>
            <w:pPr>
              <w:pStyle w:val="8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ascii="Arial" w:hAnsi="Arial" w:eastAsia="Times New Roman" w:cs="Arial"/>
                <w:color w:val="FF0000"/>
                <w:vertAlign w:val="baseline"/>
                <w:lang w:val="en-US" w:eastAsia="zh-CN" w:bidi="ar-SA"/>
              </w:rPr>
            </w:pPr>
            <w:r>
              <w:rPr>
                <w:rFonts w:hint="eastAsia" w:cs="Arial"/>
                <w:color w:val="FF0000"/>
                <w:vertAlign w:val="baseline"/>
                <w:lang w:val="en-US" w:eastAsia="zh-CN" w:bidi="ar-SA"/>
              </w:rPr>
              <w:t>Samsung if needed</w:t>
            </w:r>
          </w:p>
        </w:tc>
      </w:tr>
    </w:tbl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cs="Arial"/>
          <w:lang w:val="en-US" w:eastAsia="zh-CN" w:bidi="ar-SA"/>
        </w:rPr>
      </w:pP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 2: RAN3 to take above BL CR assignment into consideration.</w:t>
      </w:r>
    </w:p>
    <w:p>
      <w:pPr>
        <w:pStyle w:val="2"/>
        <w:ind w:left="0" w:leftChars="0" w:firstLine="0" w:firstLineChars="0"/>
        <w:rPr>
          <w:lang w:val="en-US"/>
        </w:rPr>
      </w:pPr>
      <w:r>
        <w:rPr>
          <w:rFonts w:hint="eastAsia"/>
          <w:lang w:val="en-US" w:eastAsia="zh-CN"/>
        </w:rPr>
        <w:t>4  Conclusion</w:t>
      </w: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 1: RAN3 to take above work plan into consideration.</w:t>
      </w: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0"/>
          <w:szCs w:val="20"/>
          <w:highlight w:val="none"/>
          <w:lang w:val="en-US" w:eastAsia="zh-CN"/>
        </w:rPr>
      </w:pP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 2: RAN3 to take above BL CR assignment into consideration.</w:t>
      </w:r>
    </w:p>
    <w:p>
      <w:pPr>
        <w:pStyle w:val="2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>
      <w:pPr>
        <w:numPr>
          <w:ilvl w:val="0"/>
          <w:numId w:val="9"/>
        </w:numPr>
        <w:ind w:left="284" w:hanging="284" w:hangingChars="142"/>
        <w:rPr>
          <w:rFonts w:hint="default" w:ascii="Arial" w:hAnsi="Arial" w:cs="Arial"/>
          <w:szCs w:val="15"/>
          <w:lang w:val="en-US" w:eastAsia="zh-CN"/>
        </w:rPr>
      </w:pPr>
      <w:bookmarkStart w:id="20" w:name="OLE_LINK1"/>
      <w:r>
        <w:rPr>
          <w:rFonts w:hint="eastAsia" w:ascii="Arial" w:hAnsi="Arial" w:cs="Arial"/>
          <w:szCs w:val="15"/>
          <w:lang w:val="en-US" w:eastAsia="zh-CN"/>
        </w:rPr>
        <w:t>RP-241624,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0"/>
      <w:r>
        <w:rPr>
          <w:rFonts w:hint="eastAsia" w:ascii="Arial" w:hAnsi="Arial" w:cs="Arial"/>
          <w:szCs w:val="15"/>
          <w:lang w:val="en-US" w:eastAsia="zh-CN"/>
        </w:rPr>
        <w:t>MediaTek Inc. (Rapporteur)</w:t>
      </w:r>
    </w:p>
    <w:p>
      <w:pPr>
        <w:numPr>
          <w:ilvl w:val="0"/>
          <w:numId w:val="9"/>
        </w:numPr>
        <w:ind w:left="284" w:hanging="284" w:hangingChars="142"/>
        <w:rPr>
          <w:rFonts w:hint="default" w:ascii="Arial" w:hAnsi="Arial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R2-2402941, Work Plan for Rel-19 IoT NTN, MediaTek Inc. (Rapporteur)</w:t>
      </w:r>
    </w:p>
    <w:p>
      <w:pPr>
        <w:numPr>
          <w:ilvl w:val="0"/>
          <w:numId w:val="9"/>
        </w:numPr>
        <w:ind w:left="284" w:hanging="284" w:hangingChars="142"/>
        <w:rPr>
          <w:rFonts w:hint="default" w:ascii="Arial" w:hAnsi="Arial" w:eastAsia="宋体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RAN3#124 Chair Notes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9D0C"/>
    <w:multiLevelType w:val="singleLevel"/>
    <w:tmpl w:val="03D69D0C"/>
    <w:lvl w:ilvl="0" w:tentative="0">
      <w:start w:val="1"/>
      <w:numFmt w:val="decimal"/>
      <w:suff w:val="space"/>
      <w:lvlText w:val="[%1]"/>
      <w:lvlJc w:val="left"/>
      <w:rPr>
        <w:rFonts w:hint="default" w:ascii="Arial" w:hAnsi="Arial" w:cs="Arial"/>
      </w:rPr>
    </w:lvl>
  </w:abstractNum>
  <w:abstractNum w:abstractNumId="1">
    <w:nsid w:val="0D930119"/>
    <w:multiLevelType w:val="multilevel"/>
    <w:tmpl w:val="0D93011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2">
    <w:nsid w:val="12A73F6E"/>
    <w:multiLevelType w:val="multilevel"/>
    <w:tmpl w:val="12A73F6E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3">
    <w:nsid w:val="1D4511CB"/>
    <w:multiLevelType w:val="multilevel"/>
    <w:tmpl w:val="1D4511CB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240F07F2"/>
    <w:multiLevelType w:val="multilevel"/>
    <w:tmpl w:val="240F07F2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5">
    <w:nsid w:val="49EF21C0"/>
    <w:multiLevelType w:val="multilevel"/>
    <w:tmpl w:val="49EF21C0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5F85F23"/>
    <w:multiLevelType w:val="multilevel"/>
    <w:tmpl w:val="55F85F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6B46CA9"/>
    <w:multiLevelType w:val="multilevel"/>
    <w:tmpl w:val="56B46CA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70AC4A13"/>
    <w:multiLevelType w:val="multilevel"/>
    <w:tmpl w:val="70AC4A13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B6410D"/>
    <w:rsid w:val="03CA6E38"/>
    <w:rsid w:val="04AF3F3E"/>
    <w:rsid w:val="05434750"/>
    <w:rsid w:val="06372CC4"/>
    <w:rsid w:val="0913107C"/>
    <w:rsid w:val="093150BB"/>
    <w:rsid w:val="09740087"/>
    <w:rsid w:val="0A1E5028"/>
    <w:rsid w:val="0E3136E6"/>
    <w:rsid w:val="0EB605BF"/>
    <w:rsid w:val="0EC05A14"/>
    <w:rsid w:val="0F16768D"/>
    <w:rsid w:val="13792BAA"/>
    <w:rsid w:val="15A20725"/>
    <w:rsid w:val="16CE0C48"/>
    <w:rsid w:val="171B6E71"/>
    <w:rsid w:val="17293D03"/>
    <w:rsid w:val="1841327A"/>
    <w:rsid w:val="1A0466FB"/>
    <w:rsid w:val="1A9B3954"/>
    <w:rsid w:val="1C2D35B9"/>
    <w:rsid w:val="1C4132FF"/>
    <w:rsid w:val="1D155476"/>
    <w:rsid w:val="21285BC2"/>
    <w:rsid w:val="21386679"/>
    <w:rsid w:val="2184605F"/>
    <w:rsid w:val="229C0FCD"/>
    <w:rsid w:val="23082C82"/>
    <w:rsid w:val="23545058"/>
    <w:rsid w:val="24792A7B"/>
    <w:rsid w:val="25B72A8C"/>
    <w:rsid w:val="26A22470"/>
    <w:rsid w:val="27405070"/>
    <w:rsid w:val="28637FC4"/>
    <w:rsid w:val="2A690BFD"/>
    <w:rsid w:val="2CE25BA2"/>
    <w:rsid w:val="2F223451"/>
    <w:rsid w:val="30CB3834"/>
    <w:rsid w:val="315B4657"/>
    <w:rsid w:val="315E1A2C"/>
    <w:rsid w:val="3213537B"/>
    <w:rsid w:val="343C414D"/>
    <w:rsid w:val="3508037E"/>
    <w:rsid w:val="35210BF3"/>
    <w:rsid w:val="367F46EA"/>
    <w:rsid w:val="36DB3FDE"/>
    <w:rsid w:val="37375E73"/>
    <w:rsid w:val="3A5B0F85"/>
    <w:rsid w:val="3CB536C8"/>
    <w:rsid w:val="3D3E6E28"/>
    <w:rsid w:val="3D903463"/>
    <w:rsid w:val="3E313BCA"/>
    <w:rsid w:val="3EB90BDA"/>
    <w:rsid w:val="41497E94"/>
    <w:rsid w:val="41D23F43"/>
    <w:rsid w:val="42B31359"/>
    <w:rsid w:val="434C78FE"/>
    <w:rsid w:val="469938F6"/>
    <w:rsid w:val="489004DE"/>
    <w:rsid w:val="493D64F1"/>
    <w:rsid w:val="4A1178ED"/>
    <w:rsid w:val="4FAE227B"/>
    <w:rsid w:val="50E6634D"/>
    <w:rsid w:val="51AC1FE5"/>
    <w:rsid w:val="56344915"/>
    <w:rsid w:val="5A8D75A7"/>
    <w:rsid w:val="5BA31801"/>
    <w:rsid w:val="5CE93BF4"/>
    <w:rsid w:val="5D097946"/>
    <w:rsid w:val="5ECD7994"/>
    <w:rsid w:val="619940E5"/>
    <w:rsid w:val="62B9609B"/>
    <w:rsid w:val="656E746E"/>
    <w:rsid w:val="656F1C10"/>
    <w:rsid w:val="669069E8"/>
    <w:rsid w:val="679378BF"/>
    <w:rsid w:val="68441265"/>
    <w:rsid w:val="688D6F0D"/>
    <w:rsid w:val="6970652E"/>
    <w:rsid w:val="6A8A3F37"/>
    <w:rsid w:val="6B2A73F3"/>
    <w:rsid w:val="6B9F2C01"/>
    <w:rsid w:val="6BFA4652"/>
    <w:rsid w:val="6E3A0B0C"/>
    <w:rsid w:val="6E9640E8"/>
    <w:rsid w:val="70A873E0"/>
    <w:rsid w:val="71A507A8"/>
    <w:rsid w:val="71DC7341"/>
    <w:rsid w:val="71F11DC7"/>
    <w:rsid w:val="72CE503E"/>
    <w:rsid w:val="75CB674E"/>
    <w:rsid w:val="76541BA8"/>
    <w:rsid w:val="79DB7E05"/>
    <w:rsid w:val="7AF23CD6"/>
    <w:rsid w:val="7B13784B"/>
    <w:rsid w:val="7B722DAC"/>
    <w:rsid w:val="7BD74F79"/>
    <w:rsid w:val="7C0C40B8"/>
    <w:rsid w:val="7C821B55"/>
    <w:rsid w:val="7CD948A7"/>
    <w:rsid w:val="7D3B4375"/>
    <w:rsid w:val="7DFC7E01"/>
    <w:rsid w:val="7E80318C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7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9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0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1">
    <w:name w:val="TAL + Left:  1 cm"/>
    <w:basedOn w:val="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3">
    <w:name w:val="Contact"/>
    <w:basedOn w:val="5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4">
    <w:name w:val="TAL + Left:  050 cm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5">
    <w:name w:val="TAL + Left:  0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6">
    <w:name w:val="List Paragraph"/>
    <w:basedOn w:val="1"/>
    <w:qFormat/>
    <w:uiPriority w:val="99"/>
    <w:pPr>
      <w:ind w:left="720"/>
      <w:contextualSpacing/>
    </w:pPr>
  </w:style>
  <w:style w:type="paragraph" w:customStyle="1" w:styleId="127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3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2024-08-09T01:48:00Z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7991AECE4EA448989657D4925F12523D</vt:lpwstr>
  </property>
</Properties>
</file>